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Calibri" w:cs="Calibri" w:eastAsia="Calibri" w:hAnsi="Calibri"/>
          <w:b w:val="1"/>
          <w:bCs w:val="1"/>
          <w:color w:val="000000"/>
          <w:sz w:val="22"/>
          <w:szCs w:val="22"/>
          <w:u w:val="single"/>
        </w:rPr>
      </w:pPr>
      <w:r w:rsidDel="00000000" w:rsidR="00000000" w:rsidRPr="00000000">
        <w:rPr>
          <w:b w:val="1"/>
          <w:bCs w:val="1"/>
          <w:i w:val="1"/>
          <w:iCs w:val="1"/>
          <w:color w:val="000000"/>
          <w:sz w:val="22"/>
          <w:szCs w:val="22"/>
          <w:u w:val="single"/>
          <w:rtl w:val="0"/>
        </w:rPr>
        <w:t xml:space="preserve">OSHE 1XX3: Introduction to Safety </w:t>
      </w:r>
      <w:r w:rsidDel="00000000" w:rsidR="00000000" w:rsidRPr="00000000">
        <w:rPr>
          <w:b w:val="1"/>
          <w:bCs w:val="1"/>
          <w:i w:val="1"/>
          <w:iCs w:val="1"/>
          <w:color w:val="000000"/>
          <w:sz w:val="22"/>
          <w:szCs w:val="22"/>
          <w:u w:val="single"/>
          <w:rtl w:val="0"/>
        </w:rPr>
        <w:t xml:space="preserve">Syllab</w:t>
      </w:r>
      <w:r w:rsidDel="00000000" w:rsidR="00000000" w:rsidRPr="00000000">
        <w:rPr>
          <w:rFonts w:ascii="Calibri" w:cs="Calibri" w:eastAsia="Calibri" w:hAnsi="Calibri"/>
          <w:b w:val="1"/>
          <w:bCs w:val="1"/>
          <w:color w:val="000000"/>
          <w:sz w:val="22"/>
          <w:szCs w:val="22"/>
          <w:u w:val="single"/>
          <w:rtl w:val="0"/>
        </w:rPr>
        <w:t xml:space="preserve">us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spacing w:before="0" w:lineRule="auto"/>
        <w:rPr/>
      </w:pPr>
      <w:r w:rsidDel="00000000" w:rsidR="00000000" w:rsidRPr="00000000">
        <w:rPr/>
        <w:drawing>
          <wp:inline distB="0" distT="0" distL="0" distR="0">
            <wp:extent cx="600075" cy="209550"/>
            <wp:effectExtent b="0" l="0" r="0" t="0"/>
            <wp:docPr descr="Creative Commons Attribution License" id="3" name="image1.png"/>
            <a:graphic>
              <a:graphicData uri="http://schemas.openxmlformats.org/drawingml/2006/picture">
                <pic:pic>
                  <pic:nvPicPr>
                    <pic:cNvPr descr="Creative Commons Attribution License" id="0" name="image1.png"/>
                    <pic:cNvPicPr preferRelativeResize="0"/>
                  </pic:nvPicPr>
                  <pic:blipFill>
                    <a:blip r:embed="rId7"/>
                    <a:srcRect b="0" l="0" r="0" t="0"/>
                    <a:stretch>
                      <a:fillRect/>
                    </a:stretch>
                  </pic:blipFill>
                  <pic:spPr>
                    <a:xfrm>
                      <a:off x="0" y="0"/>
                      <a:ext cx="600075" cy="20955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OSHE 1XX3: Introduction to Safety</w:t>
      </w:r>
      <w:r w:rsidDel="00000000" w:rsidR="00000000" w:rsidRPr="00000000">
        <w:rPr>
          <w:i w:val="1"/>
          <w:iCs w:val="1"/>
          <w:rtl w:val="0"/>
        </w:rPr>
        <w:t xml:space="preserve"> Syllabus</w:t>
      </w:r>
      <w:r w:rsidDel="00000000" w:rsidR="00000000" w:rsidRPr="00000000">
        <w:rPr>
          <w:rtl w:val="0"/>
        </w:rPr>
        <w:t xml:space="preserve"> is licensed </w:t>
      </w:r>
      <w:hyperlink r:id="rId8">
        <w:r w:rsidDel="00000000" w:rsidR="00000000" w:rsidRPr="00000000">
          <w:rPr>
            <w:color w:val="0563c1"/>
            <w:u w:val="single"/>
            <w:rtl w:val="0"/>
          </w:rPr>
          <w:t xml:space="preserve">Creative Commons Attribution 4.0 International License</w:t>
        </w:r>
      </w:hyperlink>
      <w:r w:rsidDel="00000000" w:rsidR="00000000" w:rsidRPr="00000000">
        <w:rPr>
          <w:rtl w:val="0"/>
        </w:rPr>
        <w:t xml:space="preserve"> </w:t>
      </w:r>
      <w:r w:rsidDel="00000000" w:rsidR="00000000" w:rsidRPr="00000000">
        <w:rPr>
          <w:i w:val="1"/>
          <w:iCs w:val="1"/>
          <w:rtl w:val="0"/>
        </w:rPr>
        <w:t xml:space="preserve">b</w:t>
      </w:r>
      <w:r w:rsidDel="00000000" w:rsidR="00000000" w:rsidRPr="00000000">
        <w:rPr>
          <w:i w:val="1"/>
          <w:iCs w:val="1"/>
          <w:rtl w:val="0"/>
        </w:rPr>
        <w:t xml:space="preserve">y the authors (Shahriar Hossain, Ephraim Massawe, Marcia Oursler, Nabin Sapkota, Jeffrey Stepp, Samantha Taylor, and Lindsay Zack).</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Calibri" w:cs="Calibri" w:eastAsia="Calibri" w:hAnsi="Calibri"/>
          <w:b w:val="1"/>
          <w:bCs w:val="1"/>
          <w:color w:val="000000"/>
          <w:sz w:val="22"/>
          <w:szCs w:val="22"/>
          <w:rtl w:val="0"/>
        </w:rPr>
        <w:t xml:space="preserve">Course Number and Title:</w:t>
      </w:r>
      <w:r w:rsidDel="00000000" w:rsidR="00000000" w:rsidRPr="00000000">
        <w:rPr>
          <w:rtl w:val="0"/>
        </w:rPr>
        <w:t xml:space="preserve"> </w:t>
        <w:br w:type="textWrapping"/>
        <w:t xml:space="preserve">OSHE 1XX3: Introduction to Safety [Replace with local course number and title per your institution]</w:t>
      </w:r>
    </w:p>
    <w:p w:rsidR="00000000" w:rsidDel="00000000" w:rsidP="00000000" w:rsidRDefault="00000000" w:rsidRPr="00000000" w14:paraId="00000006">
      <w:pPr>
        <w:spacing w:after="0" w:before="0" w:lineRule="auto"/>
        <w:rPr>
          <w:i w:val="1"/>
          <w:iCs w:val="1"/>
        </w:rPr>
      </w:pPr>
      <w:r w:rsidDel="00000000" w:rsidR="00000000" w:rsidRPr="00000000">
        <w:rPr>
          <w:i w:val="1"/>
          <w:iCs w:val="1"/>
          <w:rtl w:val="0"/>
        </w:rPr>
        <w:t xml:space="preserve">From the </w:t>
      </w:r>
      <w:hyperlink r:id="rId9">
        <w:r w:rsidDel="00000000" w:rsidR="00000000" w:rsidRPr="00000000">
          <w:rPr>
            <w:i w:val="1"/>
            <w:iCs w:val="1"/>
            <w:color w:val="0563c1"/>
            <w:u w:val="single"/>
            <w:rtl w:val="0"/>
          </w:rPr>
          <w:t xml:space="preserve">statewide common course information</w:t>
        </w:r>
      </w:hyperlink>
      <w:r w:rsidDel="00000000" w:rsidR="00000000" w:rsidRPr="00000000">
        <w:rPr>
          <w:i w:val="1"/>
          <w:iCs w:val="1"/>
          <w:rtl w:val="0"/>
        </w:rPr>
        <w:t xml:space="preserve">. </w:t>
      </w:r>
    </w:p>
    <w:p w:rsidR="00000000" w:rsidDel="00000000" w:rsidP="00000000" w:rsidRDefault="00000000" w:rsidRPr="00000000" w14:paraId="00000007">
      <w:pPr>
        <w:spacing w:after="0" w:before="0"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8">
      <w:pPr>
        <w:spacing w:after="0" w:before="0" w:lineRule="auto"/>
        <w:rPr>
          <w:i w:val="1"/>
          <w:iCs w:val="1"/>
        </w:rPr>
      </w:pPr>
      <w:r w:rsidDel="00000000" w:rsidR="00000000" w:rsidRPr="00000000">
        <w:rPr>
          <w:rFonts w:ascii="Calibri" w:cs="Calibri" w:eastAsia="Calibri" w:hAnsi="Calibri"/>
          <w:b w:val="1"/>
          <w:bCs w:val="1"/>
          <w:color w:val="000000"/>
          <w:sz w:val="22"/>
          <w:szCs w:val="22"/>
          <w:rtl w:val="0"/>
        </w:rPr>
        <w:t xml:space="preserve">Course Brief Description:</w:t>
      </w:r>
      <w:r w:rsidDel="00000000" w:rsidR="00000000" w:rsidRPr="00000000">
        <w:rPr>
          <w:rtl w:val="0"/>
        </w:rPr>
        <w:t xml:space="preserve"> </w:t>
        <w:br w:type="textWrapping"/>
      </w:r>
      <w:r w:rsidDel="00000000" w:rsidR="00000000" w:rsidRPr="00000000">
        <w:rPr>
          <w:i w:val="1"/>
          <w:iCs w:val="1"/>
          <w:rtl w:val="0"/>
        </w:rPr>
        <w:t xml:space="preserve">From the </w:t>
      </w:r>
      <w:hyperlink r:id="rId10">
        <w:r w:rsidDel="00000000" w:rsidR="00000000" w:rsidRPr="00000000">
          <w:rPr>
            <w:i w:val="1"/>
            <w:iCs w:val="1"/>
            <w:color w:val="0563c1"/>
            <w:u w:val="single"/>
            <w:rtl w:val="0"/>
          </w:rPr>
          <w:t xml:space="preserve">statewide common course information</w:t>
        </w:r>
      </w:hyperlink>
      <w:r w:rsidDel="00000000" w:rsidR="00000000" w:rsidRPr="00000000">
        <w:rPr>
          <w:i w:val="1"/>
          <w:iCs w:val="1"/>
          <w:rtl w:val="0"/>
        </w:rPr>
        <w:t xml:space="preserve">. Include credit hours. You can also elaborate on the course structure – for example, if you use modules and the number of modules. </w:t>
      </w:r>
    </w:p>
    <w:p w:rsidR="00000000" w:rsidDel="00000000" w:rsidP="00000000" w:rsidRDefault="00000000" w:rsidRPr="00000000" w14:paraId="00000009">
      <w:pPr>
        <w:spacing w:after="0" w:before="0" w:lineRule="auto"/>
        <w:rPr>
          <w:i w:val="1"/>
          <w:iCs w:val="1"/>
        </w:rPr>
      </w:pPr>
      <w:r w:rsidDel="00000000" w:rsidR="00000000" w:rsidRPr="00000000">
        <w:rPr>
          <w:rtl w:val="0"/>
        </w:rPr>
      </w:r>
    </w:p>
    <w:p w:rsidR="00000000" w:rsidDel="00000000" w:rsidP="00000000" w:rsidRDefault="00000000" w:rsidRPr="00000000" w14:paraId="0000000A">
      <w:pPr>
        <w:spacing w:after="0" w:before="0" w:lineRule="auto"/>
        <w:rPr>
          <w:b w:val="1"/>
          <w:bCs w:val="1"/>
        </w:rPr>
      </w:pPr>
      <w:r w:rsidDel="00000000" w:rsidR="00000000" w:rsidRPr="00000000">
        <w:rPr>
          <w:b w:val="1"/>
          <w:bCs w:val="1"/>
          <w:rtl w:val="0"/>
        </w:rPr>
        <w:t xml:space="preserve">Prerequisite Knowledge:</w:t>
      </w:r>
    </w:p>
    <w:p w:rsidR="00000000" w:rsidDel="00000000" w:rsidP="00000000" w:rsidRDefault="00000000" w:rsidRPr="00000000" w14:paraId="0000000B">
      <w:pPr>
        <w:spacing w:after="0" w:before="0" w:lineRule="auto"/>
        <w:rPr>
          <w:i w:val="1"/>
          <w:iCs w:val="1"/>
        </w:rPr>
      </w:pPr>
      <w:r w:rsidDel="00000000" w:rsidR="00000000" w:rsidRPr="00000000">
        <w:rPr>
          <w:i w:val="1"/>
          <w:iCs w:val="1"/>
          <w:rtl w:val="0"/>
        </w:rPr>
        <w:t xml:space="preserve">If any prerequisite knowledge or course is required for the course, include that here. This should include any technical skills and digital information literacy skills expected of the student. </w:t>
      </w:r>
    </w:p>
    <w:p w:rsidR="00000000" w:rsidDel="00000000" w:rsidP="00000000" w:rsidRDefault="00000000" w:rsidRPr="00000000" w14:paraId="0000000C">
      <w:pPr>
        <w:spacing w:after="0" w:before="0" w:lineRule="auto"/>
        <w:rPr>
          <w:i w:val="1"/>
          <w:iCs w:val="1"/>
        </w:rPr>
      </w:pPr>
      <w:r w:rsidDel="00000000" w:rsidR="00000000" w:rsidRPr="00000000">
        <w:rPr>
          <w:rtl w:val="0"/>
        </w:rPr>
      </w:r>
    </w:p>
    <w:p w:rsidR="00000000" w:rsidDel="00000000" w:rsidP="00000000" w:rsidRDefault="00000000" w:rsidRPr="00000000" w14:paraId="0000000D">
      <w:pPr>
        <w:spacing w:after="0" w:before="0" w:lineRule="auto"/>
        <w:rPr>
          <w:i w:val="1"/>
          <w:iCs w:val="1"/>
        </w:rPr>
      </w:pPr>
      <w:r w:rsidDel="00000000" w:rsidR="00000000" w:rsidRPr="00000000">
        <w:rPr>
          <w:b w:val="1"/>
          <w:bCs w:val="1"/>
          <w:rtl w:val="0"/>
        </w:rPr>
        <w:t xml:space="preserve">Course Goals:</w:t>
      </w:r>
      <w:r w:rsidDel="00000000" w:rsidR="00000000" w:rsidRPr="00000000">
        <w:rPr>
          <w:rtl w:val="0"/>
        </w:rPr>
      </w:r>
    </w:p>
    <w:p w:rsidR="00000000" w:rsidDel="00000000" w:rsidP="00000000" w:rsidRDefault="00000000" w:rsidRPr="00000000" w14:paraId="0000000E">
      <w:pPr>
        <w:spacing w:before="0" w:lineRule="auto"/>
        <w:rPr/>
      </w:pPr>
      <w:r w:rsidDel="00000000" w:rsidR="00000000" w:rsidRPr="00000000">
        <w:rPr>
          <w:rtl w:val="0"/>
        </w:rPr>
        <w:t xml:space="preserve">At the end of this course, students will be able to:</w:t>
      </w:r>
    </w:p>
    <w:p w:rsidR="00000000" w:rsidDel="00000000" w:rsidP="00000000" w:rsidRDefault="00000000" w:rsidRPr="00000000" w14:paraId="0000000F">
      <w:pPr>
        <w:numPr>
          <w:ilvl w:val="0"/>
          <w:numId w:val="1"/>
        </w:numPr>
        <w:spacing w:after="0" w:before="0" w:lineRule="auto"/>
        <w:ind w:left="720" w:hanging="360"/>
        <w:rPr>
          <w:u w:val="none"/>
        </w:rPr>
      </w:pPr>
      <w:r w:rsidDel="00000000" w:rsidR="00000000" w:rsidRPr="00000000">
        <w:rPr>
          <w:b w:val="1"/>
          <w:bCs w:val="1"/>
          <w:rtl w:val="0"/>
        </w:rPr>
        <w:t xml:space="preserve">C1: </w:t>
      </w:r>
      <w:r w:rsidDel="00000000" w:rsidR="00000000" w:rsidRPr="00000000">
        <w:rPr>
          <w:rtl w:val="0"/>
        </w:rPr>
        <w:t xml:space="preserve">Demonstrate an ability to apply knowledge of probability, statistics, engineering economic analysis and cost control, and other technical sciences and specialties necessary in the field of industrial engineering technology.</w:t>
      </w:r>
    </w:p>
    <w:p w:rsidR="00000000" w:rsidDel="00000000" w:rsidP="00000000" w:rsidRDefault="00000000" w:rsidRPr="00000000" w14:paraId="00000010">
      <w:pPr>
        <w:numPr>
          <w:ilvl w:val="0"/>
          <w:numId w:val="1"/>
        </w:numPr>
        <w:spacing w:after="0" w:before="0" w:lineRule="auto"/>
        <w:ind w:left="720" w:hanging="360"/>
        <w:rPr>
          <w:u w:val="none"/>
        </w:rPr>
      </w:pPr>
      <w:r w:rsidDel="00000000" w:rsidR="00000000" w:rsidRPr="00000000">
        <w:rPr>
          <w:b w:val="1"/>
          <w:bCs w:val="1"/>
          <w:rtl w:val="0"/>
        </w:rPr>
        <w:t xml:space="preserve">C2: </w:t>
      </w:r>
      <w:r w:rsidDel="00000000" w:rsidR="00000000" w:rsidRPr="00000000">
        <w:rPr>
          <w:rtl w:val="0"/>
        </w:rPr>
        <w:t xml:space="preserve">Demonstrate an ability to understand professional, ethical, and social responsibilities.</w:t>
      </w:r>
    </w:p>
    <w:p w:rsidR="00000000" w:rsidDel="00000000" w:rsidP="00000000" w:rsidRDefault="00000000" w:rsidRPr="00000000" w14:paraId="00000011">
      <w:pPr>
        <w:numPr>
          <w:ilvl w:val="0"/>
          <w:numId w:val="1"/>
        </w:numPr>
        <w:spacing w:after="0" w:before="0" w:lineRule="auto"/>
        <w:ind w:left="720" w:hanging="360"/>
        <w:rPr>
          <w:u w:val="none"/>
        </w:rPr>
      </w:pPr>
      <w:r w:rsidDel="00000000" w:rsidR="00000000" w:rsidRPr="00000000">
        <w:rPr>
          <w:b w:val="1"/>
          <w:bCs w:val="1"/>
          <w:rtl w:val="0"/>
        </w:rPr>
        <w:t xml:space="preserve">C3: </w:t>
      </w:r>
      <w:r w:rsidDel="00000000" w:rsidR="00000000" w:rsidRPr="00000000">
        <w:rPr>
          <w:rtl w:val="0"/>
        </w:rPr>
        <w:t xml:space="preserve">Describe the Occupational Safety and Health Act, its administration, and operations.</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b w:val="1"/>
          <w:bCs w:val="1"/>
          <w:rtl w:val="0"/>
        </w:rPr>
        <w:t xml:space="preserve">C4: </w:t>
      </w:r>
      <w:r w:rsidDel="00000000" w:rsidR="00000000" w:rsidRPr="00000000">
        <w:rPr>
          <w:rtl w:val="0"/>
        </w:rPr>
        <w:t xml:space="preserve">Explain the responsibilities of employers, managers, supervisors And employees for maintaining safe Healthful working environments.</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b w:val="1"/>
          <w:bCs w:val="1"/>
          <w:rtl w:val="0"/>
        </w:rPr>
        <w:t xml:space="preserve">C5: </w:t>
      </w:r>
      <w:r w:rsidDel="00000000" w:rsidR="00000000" w:rsidRPr="00000000">
        <w:rPr>
          <w:rtl w:val="0"/>
        </w:rPr>
        <w:t xml:space="preserve">Describe unsafe/unhealthy work conditions.</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b w:val="1"/>
          <w:bCs w:val="1"/>
          <w:rtl w:val="0"/>
        </w:rPr>
        <w:t xml:space="preserve">C6: </w:t>
      </w:r>
      <w:r w:rsidDel="00000000" w:rsidR="00000000" w:rsidRPr="00000000">
        <w:rPr>
          <w:rtl w:val="0"/>
        </w:rPr>
        <w:t xml:space="preserve">Demonstrate understanding of ethics in the context of workplace safety</w:t>
      </w:r>
    </w:p>
    <w:p w:rsidR="00000000" w:rsidDel="00000000" w:rsidP="00000000" w:rsidRDefault="00000000" w:rsidRPr="00000000" w14:paraId="00000015">
      <w:pPr>
        <w:numPr>
          <w:ilvl w:val="0"/>
          <w:numId w:val="1"/>
        </w:numPr>
        <w:spacing w:after="0" w:before="0" w:lineRule="auto"/>
        <w:ind w:left="720" w:hanging="360"/>
        <w:rPr>
          <w:b w:val="1"/>
          <w:bCs w:val="1"/>
        </w:rPr>
      </w:pPr>
      <w:r w:rsidDel="00000000" w:rsidR="00000000" w:rsidRPr="00000000">
        <w:rPr>
          <w:b w:val="1"/>
          <w:bCs w:val="1"/>
          <w:rtl w:val="0"/>
        </w:rPr>
        <w:t xml:space="preserve">DS1: </w:t>
      </w:r>
      <w:r w:rsidDel="00000000" w:rsidR="00000000" w:rsidRPr="00000000">
        <w:rPr>
          <w:rtl w:val="0"/>
        </w:rPr>
        <w:t xml:space="preserve">Demonstrate an ability to navigate websites and extract information from official sources such as OSHA.</w:t>
      </w:r>
    </w:p>
    <w:p w:rsidR="00000000" w:rsidDel="00000000" w:rsidP="00000000" w:rsidRDefault="00000000" w:rsidRPr="00000000" w14:paraId="00000016">
      <w:pPr>
        <w:spacing w:after="0" w:before="0" w:lineRule="auto"/>
        <w:rPr>
          <w:i w:val="1"/>
          <w:iCs w:val="1"/>
        </w:rPr>
      </w:pPr>
      <w:r w:rsidDel="00000000" w:rsidR="00000000" w:rsidRPr="00000000">
        <w:rPr>
          <w:rtl w:val="0"/>
        </w:rPr>
      </w:r>
    </w:p>
    <w:p w:rsidR="00000000" w:rsidDel="00000000" w:rsidP="00000000" w:rsidRDefault="00000000" w:rsidRPr="00000000" w14:paraId="00000017">
      <w:pPr>
        <w:spacing w:after="0" w:before="0" w:lineRule="auto"/>
        <w:rPr>
          <w:i w:val="1"/>
          <w:iCs w:val="1"/>
        </w:rPr>
      </w:pPr>
      <w:r w:rsidDel="00000000" w:rsidR="00000000" w:rsidRPr="00000000">
        <w:rPr>
          <w:b w:val="1"/>
          <w:bCs w:val="1"/>
          <w:rtl w:val="0"/>
        </w:rPr>
        <w:t xml:space="preserve">Course Materials: </w:t>
      </w:r>
      <w:r w:rsidDel="00000000" w:rsidR="00000000" w:rsidRPr="00000000">
        <w:rPr>
          <w:rtl w:val="0"/>
        </w:rPr>
      </w:r>
    </w:p>
    <w:p w:rsidR="00000000" w:rsidDel="00000000" w:rsidP="00000000" w:rsidRDefault="00000000" w:rsidRPr="00000000" w14:paraId="00000018">
      <w:pPr>
        <w:spacing w:before="0" w:lineRule="auto"/>
        <w:rPr>
          <w:i w:val="1"/>
          <w:iCs w:val="1"/>
        </w:rPr>
      </w:pPr>
      <w:r w:rsidDel="00000000" w:rsidR="00000000" w:rsidRPr="00000000">
        <w:rPr>
          <w:i w:val="1"/>
          <w:iCs w:val="1"/>
          <w:rtl w:val="0"/>
        </w:rPr>
        <w:t xml:space="preserve">List required and recommended course materials with their citation.</w:t>
      </w:r>
    </w:p>
    <w:p w:rsidR="00000000" w:rsidDel="00000000" w:rsidP="00000000" w:rsidRDefault="00000000" w:rsidRPr="00000000" w14:paraId="00000019">
      <w:pPr>
        <w:spacing w:after="0" w:before="0" w:lineRule="auto"/>
        <w:rPr>
          <w:i w:val="1"/>
          <w:iCs w:val="1"/>
        </w:rPr>
      </w:pPr>
      <w:r w:rsidDel="00000000" w:rsidR="00000000" w:rsidRPr="00000000">
        <w:rPr>
          <w:i w:val="1"/>
          <w:iCs w:val="1"/>
          <w:rtl w:val="0"/>
        </w:rPr>
        <w:t xml:space="preserve">For the Pressbooks resource, include the title, author, and link.</w:t>
      </w:r>
    </w:p>
    <w:p w:rsidR="00000000" w:rsidDel="00000000" w:rsidP="00000000" w:rsidRDefault="00000000" w:rsidRPr="00000000" w14:paraId="0000001A">
      <w:pPr>
        <w:spacing w:after="0" w:before="0" w:lineRule="auto"/>
        <w:rPr>
          <w:i w:val="1"/>
          <w:iCs w:val="1"/>
        </w:rPr>
      </w:pPr>
      <w:r w:rsidDel="00000000" w:rsidR="00000000" w:rsidRPr="00000000">
        <w:rPr>
          <w:rtl w:val="0"/>
        </w:rPr>
      </w:r>
    </w:p>
    <w:p w:rsidR="00000000" w:rsidDel="00000000" w:rsidP="00000000" w:rsidRDefault="00000000" w:rsidRPr="00000000" w14:paraId="0000001B">
      <w:pPr>
        <w:spacing w:after="0" w:before="0" w:lineRule="auto"/>
        <w:rPr>
          <w:b w:val="1"/>
          <w:bCs w:val="1"/>
        </w:rPr>
      </w:pPr>
      <w:r w:rsidDel="00000000" w:rsidR="00000000" w:rsidRPr="00000000">
        <w:rPr>
          <w:rFonts w:ascii="Calibri" w:cs="Calibri" w:eastAsia="Calibri" w:hAnsi="Calibri"/>
          <w:b w:val="1"/>
          <w:bCs w:val="1"/>
          <w:color w:val="000000"/>
          <w:sz w:val="22"/>
          <w:szCs w:val="22"/>
          <w:rtl w:val="0"/>
        </w:rPr>
        <w:t xml:space="preserve">Instructor Contact Information: </w:t>
      </w:r>
      <w:r w:rsidDel="00000000" w:rsidR="00000000" w:rsidRPr="00000000">
        <w:rPr>
          <w:rFonts w:ascii="Calibri" w:cs="Calibri" w:eastAsia="Calibri" w:hAnsi="Calibri"/>
          <w:color w:val="000000"/>
          <w:sz w:val="22"/>
          <w:szCs w:val="22"/>
          <w:rtl w:val="0"/>
        </w:rPr>
        <w:t xml:space="preserve">[</w:t>
      </w:r>
      <w:r w:rsidDel="00000000" w:rsidR="00000000" w:rsidRPr="00000000">
        <w:rPr>
          <w:i w:val="1"/>
          <w:iCs w:val="1"/>
          <w:rtl w:val="0"/>
        </w:rPr>
        <w:t xml:space="preserve">Keep as a placeholder for future adopters]</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Instructor: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Phone: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Office Hours: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 policy:</w:t>
      </w:r>
      <w:r w:rsidDel="00000000" w:rsidR="00000000" w:rsidRPr="00000000">
        <w:rPr>
          <w:rtl w:val="0"/>
        </w:rPr>
      </w:r>
    </w:p>
    <w:p w:rsidR="00000000" w:rsidDel="00000000" w:rsidP="00000000" w:rsidRDefault="00000000" w:rsidRPr="00000000" w14:paraId="00000023">
      <w:pPr>
        <w:spacing w:after="0" w:before="0" w:lineRule="auto"/>
        <w:rPr>
          <w:b w:val="1"/>
          <w:bCs w:val="1"/>
        </w:rPr>
      </w:pPr>
      <w:r w:rsidDel="00000000" w:rsidR="00000000" w:rsidRPr="00000000">
        <w:rPr>
          <w:rtl w:val="0"/>
        </w:rPr>
      </w:r>
    </w:p>
    <w:p w:rsidR="00000000" w:rsidDel="00000000" w:rsidP="00000000" w:rsidRDefault="00000000" w:rsidRPr="00000000" w14:paraId="00000024">
      <w:pPr>
        <w:spacing w:after="0" w:before="0" w:lineRule="auto"/>
        <w:rPr>
          <w:b w:val="1"/>
          <w:bCs w:val="1"/>
        </w:rPr>
      </w:pPr>
      <w:r w:rsidDel="00000000" w:rsidR="00000000" w:rsidRPr="00000000">
        <w:rPr>
          <w:b w:val="1"/>
          <w:bCs w:val="1"/>
          <w:rtl w:val="0"/>
        </w:rPr>
        <w:t xml:space="preserve">Course Schedule:</w:t>
      </w:r>
    </w:p>
    <w:p w:rsidR="00000000" w:rsidDel="00000000" w:rsidP="00000000" w:rsidRDefault="00000000" w:rsidRPr="00000000" w14:paraId="00000025">
      <w:pPr>
        <w:spacing w:before="0" w:lineRule="auto"/>
        <w:rPr>
          <w:i w:val="1"/>
          <w:iCs w:val="1"/>
        </w:rPr>
      </w:pPr>
      <w:r w:rsidDel="00000000" w:rsidR="00000000" w:rsidRPr="00000000">
        <w:rPr>
          <w:i w:val="1"/>
          <w:iCs w:val="1"/>
          <w:rtl w:val="0"/>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p w:rsidR="00000000" w:rsidDel="00000000" w:rsidP="00000000" w:rsidRDefault="00000000" w:rsidRPr="00000000" w14:paraId="00000026">
      <w:pPr>
        <w:spacing w:after="240" w:before="0" w:lineRule="auto"/>
        <w:rPr>
          <w:i w:val="1"/>
          <w:iCs w:val="1"/>
        </w:rPr>
      </w:pPr>
      <w:r w:rsidDel="00000000" w:rsidR="00000000" w:rsidRPr="00000000">
        <w:rPr>
          <w:i w:val="1"/>
          <w:iCs w:val="1"/>
          <w:rtl w:val="0"/>
        </w:rPr>
        <w:t xml:space="preserve">The typical academic semester is ~15 weeks, so this template is using 15 modules. Use this to outline the topics you would cover on a module (or weekly or other scale) basis and the corresponding readings/resources that support that content.  Add/remove rows as needed. The table is designed so with the top row repeats if the table spreads to a new.</w:t>
      </w:r>
    </w:p>
    <w:tbl>
      <w:tblPr>
        <w:tblStyle w:val="Table1"/>
        <w:tblW w:w="8900.0" w:type="dxa"/>
        <w:jc w:val="left"/>
        <w:tblInd w:w="5.0" w:type="dxa"/>
        <w:tblLayout w:type="fixed"/>
        <w:tblLook w:val="0400"/>
      </w:tblPr>
      <w:tblGrid>
        <w:gridCol w:w="980"/>
        <w:gridCol w:w="3600"/>
        <w:gridCol w:w="4320"/>
        <w:tblGridChange w:id="0">
          <w:tblGrid>
            <w:gridCol w:w="980"/>
            <w:gridCol w:w="3600"/>
            <w:gridCol w:w="4320"/>
          </w:tblGrid>
        </w:tblGridChange>
      </w:tblGrid>
      <w:tr>
        <w:trPr>
          <w:cantSplit w:val="1"/>
          <w:trHeight w:val="626" w:hRule="atLeast"/>
          <w:tblHeader w:val="1"/>
        </w:trPr>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7">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8">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Topics and Concepts</w:t>
            </w:r>
          </w:p>
          <w:p w:rsidR="00000000" w:rsidDel="00000000" w:rsidP="00000000" w:rsidRDefault="00000000" w:rsidRPr="00000000" w14:paraId="00000029">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List and describe as necessary the topics and concepts covered in each weekly unit.</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Corresponding Course Materials </w:t>
            </w:r>
          </w:p>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Where relevant, indicate if the resource is a chapter(s) or section(s) of a larger resource.</w:t>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Introduction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pPr>
            <w:r w:rsidDel="00000000" w:rsidR="00000000" w:rsidRPr="00000000">
              <w:rPr>
                <w:rtl w:val="0"/>
              </w:rPr>
              <w:t xml:space="preserve">Chapter 1:  Workplace Injury in Theory and practice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2:  Legislative Framework of Injury Prevention and Compensation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3:  Hazard Recognition, Assessment, and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4:  Physical Hazards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5:  Chemical and Biological Hazards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6:  Psycho-social Hazards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7:  Health Effects of Employment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8:  Training and Injury Prevention Programs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9:  Incident investigation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10:  Disability Management and Return to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Chapter 11: The Practice of Health and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8">
      <w:pPr>
        <w:spacing w:before="0" w:lineRule="auto"/>
        <w:rPr>
          <w:b w:val="1"/>
          <w:bCs w:val="1"/>
        </w:rPr>
      </w:pPr>
      <w:r w:rsidDel="00000000" w:rsidR="00000000" w:rsidRPr="00000000">
        <w:rPr>
          <w:rtl w:val="0"/>
        </w:rPr>
      </w:r>
    </w:p>
    <w:p w:rsidR="00000000" w:rsidDel="00000000" w:rsidP="00000000" w:rsidRDefault="00000000" w:rsidRPr="00000000" w14:paraId="00000059">
      <w:pPr>
        <w:spacing w:before="0" w:lineRule="auto"/>
        <w:rPr>
          <w:i w:val="1"/>
          <w:iCs w:val="1"/>
        </w:rPr>
      </w:pPr>
      <w:r w:rsidDel="00000000" w:rsidR="00000000" w:rsidRPr="00000000">
        <w:rPr>
          <w:b w:val="1"/>
          <w:bCs w:val="1"/>
          <w:rtl w:val="0"/>
        </w:rPr>
        <w:t xml:space="preserve">Course Policies: </w:t>
      </w:r>
      <w:r w:rsidDel="00000000" w:rsidR="00000000" w:rsidRPr="00000000">
        <w:rPr>
          <w:i w:val="1"/>
          <w:iCs w:val="1"/>
          <w:rtl w:val="0"/>
        </w:rPr>
        <w:t xml:space="preserve">[outline these as best as you can in terms of what is required for this course]</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Technology Requirements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May include computer hardware requirements, headphone/webcam requirements, computer software requirements, browser requirements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Computer Skills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May include skills with LMS, proficiency with software packages (Microsoft Office), library databases, Zoom, etc.</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Evaluation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Grading Policy</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Grading scale and late work policy, if applicable. </w:t>
      </w:r>
    </w:p>
    <w:p w:rsidR="00000000" w:rsidDel="00000000" w:rsidP="00000000" w:rsidRDefault="00000000" w:rsidRPr="00000000" w14:paraId="00000062">
      <w:pPr>
        <w:spacing w:after="0" w:before="0" w:lineRule="auto"/>
        <w:rPr>
          <w:b w:val="1"/>
          <w:bCs w:val="1"/>
        </w:rPr>
      </w:pPr>
      <w:r w:rsidDel="00000000" w:rsidR="00000000" w:rsidRPr="00000000">
        <w:rPr>
          <w:rtl w:val="0"/>
        </w:rPr>
      </w:r>
    </w:p>
    <w:p w:rsidR="00000000" w:rsidDel="00000000" w:rsidP="00000000" w:rsidRDefault="00000000" w:rsidRPr="00000000" w14:paraId="00000063">
      <w:pPr>
        <w:spacing w:after="0" w:before="0" w:lineRule="auto"/>
        <w:rPr>
          <w:i w:val="1"/>
          <w:iCs w:val="1"/>
        </w:rPr>
      </w:pPr>
      <w:r w:rsidDel="00000000" w:rsidR="00000000" w:rsidRPr="00000000">
        <w:rPr>
          <w:b w:val="1"/>
          <w:bCs w:val="1"/>
          <w:rtl w:val="0"/>
        </w:rPr>
        <w:t xml:space="preserve">University Policies and Support: </w:t>
      </w:r>
      <w:r w:rsidDel="00000000" w:rsidR="00000000" w:rsidRPr="00000000">
        <w:rPr>
          <w:i w:val="1"/>
          <w:iCs w:val="1"/>
          <w:rtl w:val="0"/>
        </w:rPr>
        <w:t xml:space="preserve">[Keep as a placeholder for future adopters]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Code of Conduct</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Online Etiquette </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Integrity</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Diversity Statement</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Accessibility and Disability Services</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Technology Support</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Support Services</w:t>
      </w:r>
    </w:p>
    <w:p w:rsidR="00000000" w:rsidDel="00000000" w:rsidP="00000000" w:rsidRDefault="00000000" w:rsidRPr="00000000" w14:paraId="0000006B">
      <w:pPr>
        <w:spacing w:after="24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E873CF"/>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E873CF"/>
    <w:rPr>
      <w:color w:val="0563c1" w:themeColor="hyperlink"/>
      <w:u w:val="single"/>
    </w:rPr>
  </w:style>
  <w:style w:type="paragraph" w:styleId="Header">
    <w:name w:val="header"/>
    <w:basedOn w:val="Normal"/>
    <w:link w:val="HeaderChar"/>
    <w:uiPriority w:val="99"/>
    <w:semiHidden w:val="1"/>
    <w:unhideWhenUsed w:val="1"/>
    <w:rsid w:val="00E873CF"/>
    <w:pPr>
      <w:tabs>
        <w:tab w:val="center" w:pos="4320"/>
        <w:tab w:val="right" w:pos="8640"/>
      </w:tabs>
      <w:spacing w:after="0" w:before="0" w:line="240" w:lineRule="auto"/>
    </w:pPr>
  </w:style>
  <w:style w:type="character" w:styleId="HeaderChar" w:customStyle="1">
    <w:name w:val="Header Char"/>
    <w:basedOn w:val="DefaultParagraphFont"/>
    <w:link w:val="Header"/>
    <w:uiPriority w:val="99"/>
    <w:semiHidden w:val="1"/>
    <w:rsid w:val="00E873CF"/>
  </w:style>
  <w:style w:type="paragraph" w:styleId="Default" w:customStyle="1">
    <w:name w:val="Default"/>
    <w:rsid w:val="00E873CF"/>
    <w:pPr>
      <w:suppressAutoHyphens w:val="1"/>
      <w:spacing w:after="0" w:line="240" w:lineRule="auto"/>
    </w:pPr>
    <w:rPr>
      <w:rFonts w:ascii="Times New Roman" w:cs="Times New Roman" w:eastAsia="ヒラギノ角ゴ Pro W3" w:hAnsi="Times New Roman"/>
      <w:color w:val="000000"/>
      <w:sz w:val="24"/>
      <w:szCs w:val="20"/>
    </w:rPr>
  </w:style>
  <w:style w:type="paragraph" w:styleId="contactheading" w:customStyle="1">
    <w:name w:val="contact heading"/>
    <w:rsid w:val="00E873CF"/>
    <w:pPr>
      <w:keepNext w:val="1"/>
      <w:tabs>
        <w:tab w:val="left" w:pos="0"/>
      </w:tabs>
      <w:suppressAutoHyphens w:val="1"/>
      <w:spacing w:after="120" w:before="120" w:line="240" w:lineRule="auto"/>
      <w:outlineLvl w:val="1"/>
    </w:pPr>
    <w:rPr>
      <w:rFonts w:ascii="Times New Roman Bold" w:cs="Times New Roman" w:eastAsia="ヒラギノ角ゴ Pro W3" w:hAnsi="Times New Roman Bold"/>
      <w:color w:val="000000"/>
      <w:sz w:val="24"/>
      <w:szCs w:val="20"/>
    </w:rPr>
  </w:style>
  <w:style w:type="paragraph" w:styleId="Tabletext" w:customStyle="1">
    <w:name w:val="Table text"/>
    <w:next w:val="Default"/>
    <w:rsid w:val="00E873CF"/>
    <w:pPr>
      <w:suppressAutoHyphens w:val="1"/>
      <w:spacing w:after="60" w:before="60" w:line="240" w:lineRule="auto"/>
    </w:pPr>
    <w:rPr>
      <w:rFonts w:ascii="Times New Roman" w:cs="Times New Roman" w:eastAsia="ヒラギノ角ゴ Pro W3" w:hAnsi="Times New Roman"/>
      <w:color w:val="000000"/>
      <w:sz w:val="24"/>
      <w:szCs w:val="20"/>
    </w:rPr>
  </w:style>
  <w:style w:type="character" w:styleId="UnresolvedMention">
    <w:name w:val="Unresolved Mention"/>
    <w:basedOn w:val="DefaultParagraphFont"/>
    <w:uiPriority w:val="99"/>
    <w:semiHidden w:val="1"/>
    <w:unhideWhenUsed w:val="1"/>
    <w:rsid w:val="00E873CF"/>
    <w:rPr>
      <w:color w:val="605e5c"/>
      <w:shd w:color="auto" w:fill="e1dfdd" w:val="clear"/>
    </w:rPr>
  </w:style>
  <w:style w:type="character" w:styleId="FollowedHyperlink">
    <w:name w:val="FollowedHyperlink"/>
    <w:basedOn w:val="DefaultParagraphFont"/>
    <w:uiPriority w:val="99"/>
    <w:semiHidden w:val="1"/>
    <w:unhideWhenUsed w:val="1"/>
    <w:rsid w:val="00C65289"/>
    <w:rPr>
      <w:color w:val="954f72" w:themeColor="followedHyperlink"/>
      <w:u w:val="single"/>
    </w:rPr>
  </w:style>
  <w:style w:type="paragraph" w:styleId="ListParagraph">
    <w:name w:val="List Paragraph"/>
    <w:basedOn w:val="Normal"/>
    <w:uiPriority w:val="34"/>
    <w:qFormat w:val="1"/>
    <w:rsid w:val="002B6036"/>
    <w:pPr>
      <w:ind w:left="720"/>
      <w:contextualSpacing w:val="1"/>
    </w:pPr>
  </w:style>
  <w:style w:type="character" w:styleId="Heading4Char" w:customStyle="1">
    <w:name w:val="Heading 4 Char"/>
    <w:basedOn w:val="DefaultParagraphFont"/>
    <w:link w:val="Heading4"/>
    <w:uiPriority w:val="9"/>
    <w:semiHidden w:val="1"/>
    <w:rsid w:val="00F66B61"/>
    <w:rPr>
      <w:rFonts w:asciiTheme="majorHAnsi" w:cstheme="majorBidi" w:eastAsiaTheme="majorEastAsia" w:hAnsiTheme="majorHAnsi"/>
      <w:i w:val="1"/>
      <w:iCs w:val="1"/>
      <w:color w:val="2f5496" w:themeColor="accent1" w:themeShade="0000BF"/>
    </w:rPr>
  </w:style>
  <w:style w:type="table" w:styleId="TableGrid">
    <w:name w:val="Table Grid"/>
    <w:basedOn w:val="TableNormal"/>
    <w:uiPriority w:val="39"/>
    <w:rsid w:val="00391D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25801"/>
    <w:rPr>
      <w:rFonts w:asciiTheme="majorHAnsi" w:cstheme="majorBidi" w:eastAsiaTheme="majorEastAsia" w:hAnsiTheme="majorHAnsi"/>
      <w:color w:val="2f5496" w:themeColor="accent1" w:themeShade="0000BF"/>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regents.la.gov/wp-content/uploads/2021/11/CmnCrsCatalog-2021-22-FINAL-APPROVED.pdf" TargetMode="External"/><Relationship Id="rId9" Type="http://schemas.openxmlformats.org/officeDocument/2006/relationships/hyperlink" Target="https://regents.la.gov/wp-content/uploads/2021/11/CmnCrsCatalog-2021-22-FINAL-APPROVED.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reativecommons.org/licenses/by/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Rz+9eqoy1WpRkSpaSdqX0/PHw==">CgMxLjA4AHIhMVRZV1BYYXZnSHNJZy1NTzBVZ054WTFCb0w0am5WQ3cw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2022-01-27T20:09:00Z</dcterms:created>
  <dc:creator>Emily Frank</dc:creator>
</cp:coreProperties>
</file>